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153"/>
        </w:tabs>
        <w:ind w:right="49"/>
        <w:jc w:val="center"/>
      </w:pPr>
      <w:r>
        <w:rPr>
          <w:b w:val="1"/>
          <w:bCs w:val="1"/>
          <w:rtl w:val="0"/>
          <w:lang w:val="ru-RU"/>
        </w:rPr>
        <w:t>Заказ</w:t>
      </w:r>
    </w:p>
    <w:p>
      <w:pPr>
        <w:pStyle w:val="Normal.0"/>
        <w:ind w:right="101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Лицензионному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договору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Оферте</w:t>
      </w:r>
      <w:r>
        <w:rPr>
          <w:b w:val="1"/>
          <w:bCs w:val="1"/>
          <w:rtl w:val="0"/>
          <w:lang w:val="ru-RU"/>
        </w:rPr>
        <w:t>)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в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редакции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от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01.07.2024</w:t>
      </w:r>
      <w:r>
        <w:rPr>
          <w:b w:val="1"/>
          <w:bCs w:val="1"/>
          <w:spacing w:val="0"/>
          <w:rtl w:val="0"/>
          <w:lang w:val="ru-RU"/>
        </w:rPr>
        <w:t>г</w:t>
      </w:r>
      <w:r>
        <w:rPr>
          <w:b w:val="1"/>
          <w:bCs w:val="1"/>
          <w:spacing w:val="0"/>
          <w:rtl w:val="0"/>
          <w:lang w:val="ru-RU"/>
        </w:rPr>
        <w:t>.</w:t>
      </w:r>
    </w:p>
    <w:p>
      <w:pPr>
        <w:pStyle w:val="Normal.0"/>
        <w:spacing w:before="1"/>
        <w:ind w:right="101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Программному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комплексу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«</w:t>
      </w:r>
      <w:r>
        <w:rPr>
          <w:b w:val="1"/>
          <w:bCs w:val="1"/>
          <w:rtl w:val="0"/>
          <w:lang w:val="ru-RU"/>
        </w:rPr>
        <w:t>AVUCAMS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Сервис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облачного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видеонаблюдения»</w:t>
      </w:r>
    </w:p>
    <w:p>
      <w:pPr>
        <w:pStyle w:val="Normal.0"/>
        <w:spacing w:before="252"/>
        <w:ind w:left="218" w:firstLine="0"/>
        <w:rPr>
          <w:b w:val="1"/>
          <w:bCs w:val="1"/>
        </w:rPr>
      </w:pPr>
      <w:r>
        <w:rPr>
          <w:b w:val="1"/>
          <w:bCs w:val="1"/>
          <w:spacing w:val="0"/>
          <w:rtl w:val="0"/>
          <w:lang w:val="ru-RU"/>
        </w:rPr>
        <w:t>г</w:t>
      </w:r>
      <w:r>
        <w:rPr>
          <w:b w:val="1"/>
          <w:bCs w:val="1"/>
          <w:spacing w:val="0"/>
          <w:rtl w:val="0"/>
          <w:lang w:val="ru-RU"/>
        </w:rPr>
        <w:t xml:space="preserve">. </w:t>
      </w:r>
      <w:r>
        <w:rPr>
          <w:b w:val="1"/>
          <w:bCs w:val="1"/>
          <w:spacing w:val="0"/>
          <w:rtl w:val="0"/>
          <w:lang w:val="ru-RU"/>
        </w:rPr>
        <w:t>Уфа</w:t>
        <w:tab/>
        <w:tab/>
        <w:tab/>
        <w:tab/>
        <w:tab/>
        <w:tab/>
        <w:tab/>
        <w:tab/>
        <w:tab/>
        <w:tab/>
        <w:t>«</w:t>
      </w:r>
      <w:r>
        <w:rPr>
          <w:b w:val="1"/>
          <w:bCs w:val="1"/>
          <w:spacing w:val="0"/>
          <w:rtl w:val="0"/>
          <w:lang w:val="ru-RU"/>
        </w:rPr>
        <w:t>____</w:t>
      </w:r>
      <w:r>
        <w:rPr>
          <w:b w:val="1"/>
          <w:bCs w:val="1"/>
          <w:spacing w:val="0"/>
          <w:rtl w:val="0"/>
          <w:lang w:val="ru-RU"/>
        </w:rPr>
        <w:t>»</w:t>
      </w:r>
      <w:r>
        <w:rPr>
          <w:b w:val="1"/>
          <w:bCs w:val="1"/>
          <w:spacing w:val="0"/>
          <w:rtl w:val="0"/>
          <w:lang w:val="ru-RU"/>
        </w:rPr>
        <w:t>__________202__</w:t>
      </w:r>
      <w:r>
        <w:rPr>
          <w:b w:val="1"/>
          <w:bCs w:val="1"/>
          <w:spacing w:val="0"/>
          <w:rtl w:val="0"/>
          <w:lang w:val="ru-RU"/>
        </w:rPr>
        <w:t>г</w:t>
      </w:r>
      <w:r>
        <w:rPr>
          <w:b w:val="1"/>
          <w:bCs w:val="1"/>
          <w:spacing w:val="0"/>
          <w:rtl w:val="0"/>
          <w:lang w:val="ru-RU"/>
        </w:rPr>
        <w:t>.</w:t>
      </w:r>
    </w:p>
    <w:p>
      <w:pPr>
        <w:pStyle w:val="Normal.0"/>
        <w:spacing w:before="252"/>
        <w:ind w:left="938" w:firstLine="0"/>
        <w:jc w:val="both"/>
      </w:pPr>
      <w:r>
        <w:rPr>
          <w:b w:val="1"/>
          <w:bCs w:val="1"/>
          <w:rtl w:val="0"/>
          <w:lang w:val="ru-RU"/>
        </w:rPr>
        <w:t>Общество</w:t>
      </w:r>
      <w:r>
        <w:rPr>
          <w:b w:val="1"/>
          <w:bCs w:val="1"/>
          <w:spacing w:val="0"/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>с</w:t>
      </w:r>
      <w:r>
        <w:rPr>
          <w:b w:val="1"/>
          <w:bCs w:val="1"/>
          <w:spacing w:val="0"/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>ограниченной</w:t>
      </w:r>
      <w:r>
        <w:rPr>
          <w:b w:val="1"/>
          <w:bCs w:val="1"/>
          <w:spacing w:val="0"/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>ответственностью</w:t>
      </w:r>
      <w:r>
        <w:rPr>
          <w:b w:val="1"/>
          <w:bCs w:val="1"/>
          <w:spacing w:val="0"/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>«Авантис»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именуемое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>дальнейшем</w:t>
      </w:r>
    </w:p>
    <w:p>
      <w:pPr>
        <w:pStyle w:val="Body Text"/>
        <w:tabs>
          <w:tab w:val="left" w:pos="7031"/>
          <w:tab w:val="left" w:pos="8807"/>
        </w:tabs>
        <w:ind w:right="318"/>
      </w:pPr>
      <w:r>
        <w:rPr>
          <w:rtl w:val="0"/>
          <w:lang w:val="ru-RU"/>
        </w:rPr>
        <w:t>«Лицензиар»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лице Коммерческого директора Григорьевой Дины Маратовны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действующей на основании доверенности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от «</w:t>
      </w:r>
      <w:r>
        <w:rPr>
          <w:rtl w:val="0"/>
          <w:lang w:val="ru-RU"/>
        </w:rPr>
        <w:t>23</w:t>
      </w:r>
      <w:r>
        <w:rPr>
          <w:rtl w:val="0"/>
          <w:lang w:val="ru-RU"/>
        </w:rPr>
        <w:t xml:space="preserve">» марта </w:t>
      </w:r>
      <w:r>
        <w:rPr>
          <w:rtl w:val="0"/>
          <w:lang w:val="ru-RU"/>
        </w:rPr>
        <w:t>2023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u w:val="single"/>
        </w:rPr>
        <w:tab/>
        <w:tab/>
      </w:r>
      <w:r>
        <w:rPr>
          <w:b w:val="1"/>
          <w:bCs w:val="1"/>
          <w:rtl w:val="0"/>
          <w:lang w:val="ru-RU"/>
        </w:rPr>
        <w:t xml:space="preserve">, </w:t>
      </w:r>
      <w:r>
        <w:rPr>
          <w:rtl w:val="0"/>
          <w:lang w:val="ru-RU"/>
        </w:rPr>
        <w:t>именуемое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дальнейшем</w:t>
      </w:r>
      <w:r>
        <w:rPr>
          <w:spacing w:val="0"/>
          <w:rtl w:val="0"/>
          <w:lang w:val="ru-RU"/>
        </w:rPr>
        <w:t xml:space="preserve"> «</w:t>
      </w:r>
      <w:r>
        <w:rPr>
          <w:rtl w:val="0"/>
          <w:lang w:val="ru-RU"/>
        </w:rPr>
        <w:t>Лицензиат»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лице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__________________________</w:t>
        <w:tab/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действующего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основании</w:t>
      </w:r>
    </w:p>
    <w:p>
      <w:pPr>
        <w:pStyle w:val="Body Text"/>
        <w:tabs>
          <w:tab w:val="left" w:pos="5718"/>
          <w:tab w:val="left" w:pos="6457"/>
        </w:tabs>
        <w:ind w:right="319"/>
      </w:pPr>
      <w:r>
        <w:rPr>
          <w:rtl w:val="0"/>
          <w:lang w:val="ru-RU"/>
        </w:rPr>
        <w:t>____________________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заключили настоящий Заказ к Лицензионному договору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договор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Оферта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  <w:lang w:val="ru-RU"/>
        </w:rPr>
        <w:t>:</w:t>
      </w:r>
    </w:p>
    <w:p>
      <w:pPr>
        <w:pStyle w:val="Body Text"/>
        <w:ind w:left="0" w:firstLine="0"/>
        <w:jc w:val="left"/>
        <w:rPr>
          <w:sz w:val="10"/>
          <w:szCs w:val="10"/>
        </w:rPr>
      </w:pPr>
    </w:p>
    <w:tbl>
      <w:tblPr>
        <w:tblW w:w="109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54"/>
        <w:gridCol w:w="1372"/>
        <w:gridCol w:w="1559"/>
        <w:gridCol w:w="1556"/>
      </w:tblGrid>
      <w:tr>
        <w:tblPrEx>
          <w:shd w:val="clear" w:color="auto" w:fill="ced7e7"/>
        </w:tblPrEx>
        <w:trPr>
          <w:trHeight w:val="88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Наименование работ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услуг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во лицензий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шт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Цена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./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мес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br w:type="textWrapping"/>
              <w:t>НДС не облагается</w:t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./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мес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br w:type="textWrapping"/>
              <w:t>НДС не облагается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Облачная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течение 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 xml:space="preserve">дней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Домофон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185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Сервисная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режиме реального времени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Домофон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75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Облачная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 </w:t>
            </w:r>
            <w:r>
              <w:rPr>
                <w:shd w:val="nil" w:color="auto" w:fill="auto"/>
                <w:rtl w:val="0"/>
                <w:lang w:val="ru-RU"/>
              </w:rPr>
              <w:t xml:space="preserve">для типа оборудования </w:t>
            </w:r>
            <w:r>
              <w:rPr>
                <w:shd w:val="nil" w:color="auto" w:fill="auto"/>
                <w:rtl w:val="0"/>
                <w:lang w:val="ru-RU"/>
              </w:rPr>
              <w:t>IP-</w:t>
            </w:r>
            <w:r>
              <w:rPr>
                <w:shd w:val="nil" w:color="auto" w:fill="auto"/>
                <w:rtl w:val="0"/>
                <w:lang w:val="ru-RU"/>
              </w:rPr>
              <w:t>домофон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изображений с цифровых камер в течение 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 xml:space="preserve">дней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IP-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Домофон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Сервисная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 </w:t>
            </w:r>
            <w:r>
              <w:rPr>
                <w:shd w:val="nil" w:color="auto" w:fill="auto"/>
                <w:rtl w:val="0"/>
                <w:lang w:val="ru-RU"/>
              </w:rPr>
              <w:t xml:space="preserve">для типа оборудования </w:t>
            </w:r>
            <w:r>
              <w:rPr>
                <w:shd w:val="nil" w:color="auto" w:fill="auto"/>
                <w:rtl w:val="0"/>
                <w:lang w:val="ru-RU"/>
              </w:rPr>
              <w:t>IP-</w:t>
            </w:r>
            <w:r>
              <w:rPr>
                <w:shd w:val="nil" w:color="auto" w:fill="auto"/>
                <w:rtl w:val="0"/>
                <w:lang w:val="ru-RU"/>
              </w:rPr>
              <w:t>домофон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режиме реального времени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IP-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Домофон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75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Облачная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течение 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 xml:space="preserve">дней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Видеонаблюдение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185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Облачная лицензия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к Программному комплексу «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AVUCAMS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» с возможностью просмотра изображения с цифровых камер в течение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дней на облачном ресурсе Лицензиара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Видеонаблюдение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350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Сервисная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режиме реального времени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Видеонаблюдение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75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Облачная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открытия шлагбаума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ворот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в мобильном приложении и с возможностью просмотра изображения с цифровых камер в течение 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>дней на облачном ресурсе Лицензиара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 возможностью расширения функционала лицензии</w:t>
            </w:r>
            <w:r>
              <w:rPr>
                <w:shd w:val="nil" w:color="auto" w:fill="auto"/>
                <w:rtl w:val="0"/>
                <w:lang w:val="ru-RU"/>
              </w:rPr>
              <w:t xml:space="preserve">*)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Шлагбаум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260</w:t>
            </w:r>
          </w:p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Сервисная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открытия шлагбаума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ворот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в мобильном приложении  и с возможностью просмотра изображения с цифровых камер в режиме реального времени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 возможностью расширения функционала лицензии</w:t>
            </w:r>
            <w:r>
              <w:rPr>
                <w:shd w:val="nil" w:color="auto" w:fill="auto"/>
                <w:rtl w:val="0"/>
                <w:lang w:val="ru-RU"/>
              </w:rPr>
              <w:t xml:space="preserve">*) 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Шлагбаум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150</w:t>
            </w: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Сервисная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открытия шлагбаума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ворот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в мобильном приложении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Шлагбаум</w:t>
            </w:r>
            <w:r>
              <w:rPr>
                <w:shd w:val="nil" w:color="auto" w:fill="auto"/>
                <w:rtl w:val="0"/>
                <w:lang w:val="ru-RU"/>
              </w:rPr>
              <w:t xml:space="preserve">     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75</w:t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* </w:t>
            </w:r>
            <w:r>
              <w:rPr>
                <w:shd w:val="nil" w:color="auto" w:fill="auto"/>
                <w:rtl w:val="0"/>
                <w:lang w:val="ru-RU"/>
              </w:rPr>
              <w:t xml:space="preserve">Лицензия на  расширение функционала Программного комплекса </w:t>
            </w:r>
            <w:r>
              <w:rPr>
                <w:shd w:val="nil" w:color="auto" w:fill="auto"/>
                <w:rtl w:val="0"/>
                <w:lang w:val="ru-RU"/>
              </w:rPr>
              <w:t xml:space="preserve">AVUCAMS: </w:t>
            </w:r>
            <w:r>
              <w:rPr>
                <w:shd w:val="nil" w:color="auto" w:fill="auto"/>
                <w:rtl w:val="0"/>
                <w:lang w:val="ru-RU"/>
              </w:rPr>
              <w:t xml:space="preserve">распознавание государственных номеров транспортных средств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при наличии технической возможности у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определяется индивидуально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Облачная лицензия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AVUCAMS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для типа оборудования одноабонентский домофон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течение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дней на облачном ресурсе Лицензиара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Индивидуальный домофон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120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6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Сервисная лицензия</w:t>
            </w:r>
            <w:r>
              <w:rPr>
                <w:shd w:val="nil" w:color="auto" w:fill="auto"/>
                <w:rtl w:val="0"/>
                <w:lang w:val="ru-RU"/>
              </w:rPr>
              <w:t xml:space="preserve"> к Программному комплексу </w:t>
            </w:r>
            <w:r>
              <w:rPr>
                <w:shd w:val="nil" w:color="auto" w:fill="auto"/>
                <w:rtl w:val="0"/>
                <w:lang w:val="ru-RU"/>
              </w:rPr>
              <w:t xml:space="preserve">AVUCAMS </w:t>
            </w:r>
            <w:r>
              <w:rPr>
                <w:shd w:val="nil" w:color="auto" w:fill="auto"/>
                <w:rtl w:val="0"/>
                <w:lang w:val="ru-RU"/>
              </w:rPr>
              <w:t>для типа оборудования одноабонентский  домофон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с возможностью просмотра изображения с цифровых камер в режиме реального времени на облачном ресурсе Лицензиара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Индивидуальный домофон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93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Итого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ежемесячно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</w:tr>
    </w:tbl>
    <w:p>
      <w:pPr>
        <w:pStyle w:val="Body Text"/>
        <w:ind w:left="0" w:firstLine="0"/>
        <w:jc w:val="left"/>
        <w:rPr>
          <w:sz w:val="10"/>
          <w:szCs w:val="10"/>
        </w:rPr>
      </w:pPr>
    </w:p>
    <w:p>
      <w:pPr>
        <w:pStyle w:val="Body Text"/>
        <w:spacing w:before="1"/>
        <w:ind w:left="0" w:firstLine="0"/>
        <w:jc w:val="left"/>
        <w:rPr>
          <w:sz w:val="10"/>
          <w:szCs w:val="10"/>
        </w:rPr>
      </w:pPr>
    </w:p>
    <w:p>
      <w:pPr>
        <w:pStyle w:val="Body Text"/>
        <w:ind w:right="318"/>
      </w:pPr>
      <w:r>
        <w:rPr>
          <w:rtl w:val="0"/>
          <w:lang w:val="ru-RU"/>
        </w:rPr>
        <w:t>Подписывая настоящий Заказ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Лицензиат полностью и безоговорочно соглашается с условиями Лицензионного договора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оферты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 Программному комплексу «</w:t>
      </w:r>
      <w:r>
        <w:rPr>
          <w:rtl w:val="0"/>
          <w:lang w:val="ru-RU"/>
        </w:rPr>
        <w:t xml:space="preserve">AVUCAMS - </w:t>
      </w:r>
      <w:r>
        <w:rPr>
          <w:rtl w:val="0"/>
          <w:lang w:val="ru-RU"/>
        </w:rPr>
        <w:t>Сервис облачного видеонаблюдения»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размещенного на Сайте</w:t>
      </w:r>
      <w:r>
        <w:rPr>
          <w:rtl w:val="0"/>
          <w:lang w:val="ru-RU"/>
        </w:rPr>
        <w:t xml:space="preserve">. </w:t>
      </w:r>
    </w:p>
    <w:p>
      <w:pPr>
        <w:pStyle w:val="Normal.0"/>
        <w:ind w:left="218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Сервисной лицензии хранение архива изображения с цифровых камер Лицензиаром не осуществляется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Лицензиат вправе хранить данный архив самостоятельно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ind w:right="318"/>
      </w:pPr>
      <w:r>
        <w:rPr>
          <w:rtl w:val="0"/>
          <w:lang w:val="ru-RU"/>
        </w:rPr>
        <w:t>Срок действия лицензии</w:t>
      </w:r>
      <w:r>
        <w:rPr>
          <w:rtl w:val="0"/>
          <w:lang w:val="ru-RU"/>
        </w:rPr>
        <w:t>: 1 (</w:t>
      </w:r>
      <w:r>
        <w:rPr>
          <w:rtl w:val="0"/>
          <w:lang w:val="ru-RU"/>
        </w:rPr>
        <w:t>Один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календарный месяц</w:t>
      </w:r>
      <w:r>
        <w:rPr>
          <w:rtl w:val="0"/>
          <w:lang w:val="ru-RU"/>
        </w:rPr>
        <w:t>.</w:t>
      </w:r>
    </w:p>
    <w:p>
      <w:pPr>
        <w:pStyle w:val="Body Text"/>
        <w:ind w:left="0" w:firstLine="0"/>
        <w:jc w:val="left"/>
        <w:rPr>
          <w:sz w:val="10"/>
          <w:szCs w:val="10"/>
        </w:rPr>
      </w:pPr>
    </w:p>
    <w:p>
      <w:pPr>
        <w:pStyle w:val="Body Text"/>
        <w:ind w:right="317"/>
      </w:pPr>
      <w:r>
        <w:rPr>
          <w:rtl w:val="0"/>
          <w:lang w:val="ru-RU"/>
        </w:rPr>
        <w:t>Продление действия лицензии на новый срок действия осуществляется путем совершения Лицензиатом конклюдентного действия по оплате такой лицензии без подписания нового Заказа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Количество продлений не ограничено</w:t>
      </w:r>
      <w:r>
        <w:rPr>
          <w:rtl w:val="0"/>
          <w:lang w:val="ru-RU"/>
        </w:rPr>
        <w:t>.</w:t>
      </w:r>
    </w:p>
    <w:p>
      <w:pPr>
        <w:pStyle w:val="Body Text"/>
        <w:spacing w:before="252"/>
        <w:ind w:right="317"/>
      </w:pPr>
      <w:r>
        <w:rPr>
          <w:rtl w:val="0"/>
          <w:lang w:val="ru-RU"/>
        </w:rPr>
        <w:t>Изменение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дополнение выбранного типа лицензии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количества лицензий после подписания Заказа осуществляется Лицензиатом в Личном кабинете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Совершение Лицензиатом действий в Личном кабинете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изменению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дополнению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выбранного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типа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лицензии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количества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лицензий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акцептом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Лицензиата на вышеуказанные изменения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дополнения и Плата за лицензию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согласно таким изменениям подлежит оплате с месяца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следующего за месяцем таких изменений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дополнений</w:t>
      </w:r>
      <w:r>
        <w:rPr>
          <w:rtl w:val="0"/>
          <w:lang w:val="ru-RU"/>
        </w:rPr>
        <w:t>.</w:t>
      </w:r>
    </w:p>
    <w:p>
      <w:pPr>
        <w:pStyle w:val="Body Text"/>
        <w:ind w:left="0" w:firstLine="0"/>
        <w:jc w:val="left"/>
        <w:rPr>
          <w:sz w:val="10"/>
          <w:szCs w:val="10"/>
        </w:rPr>
      </w:pPr>
    </w:p>
    <w:p>
      <w:pPr>
        <w:pStyle w:val="Body Text"/>
        <w:tabs>
          <w:tab w:val="left" w:pos="6693"/>
        </w:tabs>
        <w:spacing w:before="1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4645024</wp:posOffset>
                </wp:positionH>
                <wp:positionV relativeFrom="line">
                  <wp:posOffset>13770</wp:posOffset>
                </wp:positionV>
                <wp:extent cx="226696" cy="175261"/>
                <wp:effectExtent l="0" t="0" r="0" b="0"/>
                <wp:wrapNone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6" cy="175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41709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5.8pt;margin-top:1.1pt;width:17.9pt;height:13.8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1709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5304153</wp:posOffset>
                </wp:positionH>
                <wp:positionV relativeFrom="line">
                  <wp:posOffset>1705</wp:posOffset>
                </wp:positionV>
                <wp:extent cx="226696" cy="175261"/>
                <wp:effectExtent l="0" t="0" r="0" b="0"/>
                <wp:wrapNone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6" cy="175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41709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17.6pt;margin-top:0.1pt;width:17.9pt;height:13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1709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ru-RU"/>
        </w:rPr>
        <w:t>Настоящий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отменяет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предыдущих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Заказов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Да</w:t>
      </w:r>
      <w:r>
        <w:tab/>
      </w:r>
      <w:r>
        <w:rPr>
          <w:spacing w:val="0"/>
          <w:rtl w:val="0"/>
          <w:lang w:val="ru-RU"/>
        </w:rPr>
        <w:t>Нет</w:t>
      </w:r>
    </w:p>
    <w:p>
      <w:pPr>
        <w:pStyle w:val="Body Text"/>
        <w:spacing w:before="47" w:after="1"/>
        <w:ind w:left="0" w:firstLine="0"/>
        <w:jc w:val="left"/>
        <w:rPr>
          <w:sz w:val="10"/>
          <w:szCs w:val="10"/>
        </w:rPr>
      </w:pPr>
    </w:p>
    <w:tbl>
      <w:tblPr>
        <w:tblW w:w="9912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6"/>
        <w:gridCol w:w="4956"/>
      </w:tblGrid>
      <w:tr>
        <w:tblPrEx>
          <w:shd w:val="clear" w:color="auto" w:fill="ced7e7"/>
        </w:tblPrEx>
        <w:trPr>
          <w:trHeight w:val="347" w:hRule="atLeast"/>
        </w:trPr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Лицевого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счета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оплаты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144"/>
              </w:tabs>
              <w:spacing w:line="253" w:lineRule="exact"/>
              <w:ind w:left="108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SBS </w:t>
            </w:r>
            <w:r>
              <w:rPr>
                <w:b w:val="1"/>
                <w:bCs w:val="1"/>
                <w:u w:val="single"/>
                <w:shd w:val="nil" w:color="auto" w:fill="auto"/>
                <w:lang w:val="ru-RU"/>
              </w:rPr>
              <w:tab/>
            </w:r>
          </w:p>
        </w:tc>
      </w:tr>
    </w:tbl>
    <w:p>
      <w:pPr>
        <w:pStyle w:val="Body Text"/>
        <w:spacing w:before="47" w:after="1"/>
        <w:ind w:left="115" w:hanging="115"/>
        <w:jc w:val="left"/>
        <w:rPr>
          <w:sz w:val="10"/>
          <w:szCs w:val="10"/>
        </w:rPr>
      </w:pPr>
    </w:p>
    <w:p>
      <w:pPr>
        <w:pStyle w:val="Normal.0"/>
        <w:spacing w:before="252"/>
        <w:ind w:left="218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Учетные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данные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Лицензиата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для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доступа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в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Личный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кабинет</w:t>
      </w:r>
      <w:r>
        <w:rPr>
          <w:b w:val="1"/>
          <w:bCs w:val="1"/>
          <w:spacing w:val="0"/>
          <w:rtl w:val="0"/>
          <w:lang w:val="ru-RU"/>
        </w:rPr>
        <w:t>:</w:t>
      </w:r>
    </w:p>
    <w:p>
      <w:pPr>
        <w:pStyle w:val="Body Text"/>
        <w:spacing w:before="23"/>
        <w:ind w:left="0" w:firstLine="0"/>
        <w:jc w:val="left"/>
        <w:rPr>
          <w:b w:val="1"/>
          <w:bCs w:val="1"/>
          <w:sz w:val="10"/>
          <w:szCs w:val="10"/>
        </w:rPr>
      </w:pPr>
    </w:p>
    <w:tbl>
      <w:tblPr>
        <w:tblW w:w="5945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"/>
        <w:gridCol w:w="4957"/>
      </w:tblGrid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line="233" w:lineRule="exact"/>
              <w:ind w:left="0" w:right="133" w:firstLine="0"/>
              <w:jc w:val="center"/>
            </w:pP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Логин</w:t>
            </w:r>
          </w:p>
        </w:tc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соответствует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Лицевого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счета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>
            <w:pPr>
              <w:pStyle w:val="Table Paragraph"/>
              <w:spacing w:line="234" w:lineRule="exact"/>
              <w:ind w:left="0" w:right="7" w:firstLine="0"/>
              <w:jc w:val="center"/>
            </w:pPr>
            <w:r>
              <w:rPr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Пароль</w:t>
            </w:r>
          </w:p>
        </w:tc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 </w:t>
            </w:r>
          </w:p>
        </w:tc>
      </w:tr>
    </w:tbl>
    <w:p>
      <w:pPr>
        <w:pStyle w:val="Body Text"/>
        <w:spacing w:before="23"/>
        <w:ind w:left="115" w:hanging="115"/>
        <w:jc w:val="left"/>
        <w:rPr>
          <w:b w:val="1"/>
          <w:bCs w:val="1"/>
          <w:sz w:val="10"/>
          <w:szCs w:val="10"/>
        </w:rPr>
      </w:pPr>
    </w:p>
    <w:p>
      <w:pPr>
        <w:pStyle w:val="Body Text"/>
        <w:spacing w:before="18"/>
        <w:ind w:left="0" w:firstLine="0"/>
        <w:jc w:val="left"/>
        <w:rPr>
          <w:b w:val="1"/>
          <w:bCs w:val="1"/>
          <w:sz w:val="10"/>
          <w:szCs w:val="10"/>
        </w:rPr>
      </w:pPr>
    </w:p>
    <w:p>
      <w:pPr>
        <w:pStyle w:val="Normal.0"/>
        <w:spacing w:after="22"/>
        <w:ind w:right="101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Адреса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и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реквизиты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сторон</w:t>
      </w:r>
      <w:r>
        <w:rPr>
          <w:b w:val="1"/>
          <w:bCs w:val="1"/>
          <w:spacing w:val="0"/>
          <w:rtl w:val="0"/>
          <w:lang w:val="ru-RU"/>
        </w:rPr>
        <w:t>.</w:t>
      </w:r>
    </w:p>
    <w:tbl>
      <w:tblPr>
        <w:tblW w:w="10460" w:type="dxa"/>
        <w:jc w:val="center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6"/>
        <w:gridCol w:w="4100"/>
        <w:gridCol w:w="3134"/>
      </w:tblGrid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8" w:firstLine="0"/>
              <w:jc w:val="center"/>
            </w:pP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Лицензиар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7" w:firstLine="0"/>
              <w:jc w:val="center"/>
            </w:pP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Лицензиат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ООО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«Авантис»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Юридический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адрес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1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450001,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Республика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Башкортостан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город Уфа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Проспект Октября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4/3,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 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Почтовый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адрес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450001,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Республика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Башкортостан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город</w:t>
            </w:r>
          </w:p>
          <w:p>
            <w:pPr>
              <w:pStyle w:val="Table Paragraph"/>
              <w:bidi w:val="0"/>
              <w:spacing w:line="228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Уфа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Проспект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Октября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4/3,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6" w:firstLine="0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(347)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299-21-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6" w:firstLine="0"/>
            </w:pP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407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810 906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046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938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810 300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000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601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БИК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048073601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банка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Table Paragraph"/>
              <w:bidi w:val="0"/>
              <w:spacing w:before="18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место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нахождения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Башкирское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отделение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8598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ПАО</w:t>
            </w:r>
          </w:p>
          <w:p>
            <w:pPr>
              <w:pStyle w:val="Table Paragraph"/>
              <w:bidi w:val="0"/>
              <w:spacing w:before="18"/>
              <w:ind w:left="107" w:right="0" w:firstLine="0"/>
              <w:jc w:val="left"/>
              <w:rPr>
                <w:rtl w:val="0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Сбербанк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0276102176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ОГРН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1060276029505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6" w:firstLine="0"/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ОКПО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</w:pPr>
            <w:r>
              <w:rPr>
                <w:outline w:val="0"/>
                <w:color w:val="212121"/>
                <w:spacing w:val="-1"/>
                <w:sz w:val="20"/>
                <w:szCs w:val="20"/>
                <w:u w:color="212121"/>
                <w:shd w:val="nil" w:color="auto" w:fill="auto"/>
                <w:rtl w:val="0"/>
                <w:lang w:val="ru-RU"/>
                <w14:textFill>
                  <w14:solidFill>
                    <w14:srgbClr w14:val="212121"/>
                  </w14:solidFill>
                </w14:textFill>
              </w:rPr>
              <w:t>96213338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6" w:firstLine="0"/>
            </w:pP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КПП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027801001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E-mail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обязательно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для</w:t>
            </w:r>
          </w:p>
          <w:p>
            <w:pPr>
              <w:pStyle w:val="Table Paragraph"/>
              <w:bidi w:val="0"/>
              <w:spacing w:before="18"/>
              <w:ind w:left="106" w:right="0" w:firstLine="0"/>
              <w:jc w:val="left"/>
              <w:rPr>
                <w:rtl w:val="0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заполнения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</w:pPr>
            <w:r>
              <w:rPr>
                <w:rStyle w:val="Hyperlink.0"/>
                <w:outline w:val="0"/>
                <w:color w:val="0000ff"/>
                <w:spacing w:val="-1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1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"mailto:hit@ufanet.ru"</w:instrText>
            </w:r>
            <w:r>
              <w:rPr>
                <w:rStyle w:val="Hyperlink.0"/>
                <w:outline w:val="0"/>
                <w:color w:val="0000ff"/>
                <w:spacing w:val="-1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1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hit@ufanet.ru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  <w:ind w:left="106" w:firstLine="0"/>
            </w:pP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Сайт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7" w:lineRule="exact"/>
            </w:pPr>
            <w:r>
              <w:rPr>
                <w:rStyle w:val="Hyperlink.1"/>
                <w:spacing w:val="-1"/>
                <w:sz w:val="20"/>
                <w:szCs w:val="20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1"/>
                <w:spacing w:val="-1"/>
                <w:sz w:val="20"/>
                <w:szCs w:val="20"/>
                <w:shd w:val="nil" w:color="auto" w:fill="auto"/>
                <w:lang w:val="ru-RU"/>
              </w:rPr>
              <w:instrText xml:space="preserve"> HYPERLINK "http://avantys.group/"</w:instrText>
            </w:r>
            <w:r>
              <w:rPr>
                <w:rStyle w:val="Hyperlink.1"/>
                <w:spacing w:val="-1"/>
                <w:sz w:val="20"/>
                <w:szCs w:val="20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http://avantys.group/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2"/>
        <w:ind w:left="218" w:hanging="218"/>
        <w:jc w:val="center"/>
        <w:rPr>
          <w:rStyle w:val="Нет"/>
          <w:b w:val="1"/>
          <w:bCs w:val="1"/>
        </w:rPr>
      </w:pPr>
    </w:p>
    <w:p>
      <w:pPr>
        <w:pStyle w:val="Normal.0"/>
        <w:rPr>
          <w:rStyle w:val="Нет"/>
          <w:b w:val="1"/>
          <w:bCs w:val="1"/>
        </w:rPr>
        <w:sectPr>
          <w:headerReference w:type="default" r:id="rId4"/>
          <w:footerReference w:type="default" r:id="rId5"/>
          <w:pgSz w:w="12240" w:h="15840" w:orient="portrait"/>
          <w:pgMar w:top="709" w:right="580" w:bottom="280" w:left="1200" w:header="720" w:footer="720"/>
          <w:bidi w:val="0"/>
        </w:sectPr>
      </w:pPr>
      <w:r>
        <w:rPr>
          <w:rStyle w:val="Нет"/>
          <w:b w:val="1"/>
          <w:bCs w:val="1"/>
        </w:rPr>
      </w:r>
    </w:p>
    <w:p>
      <w:pPr>
        <w:pStyle w:val="Normal.0"/>
      </w:pPr>
    </w:p>
    <w:p>
      <w:pPr>
        <w:pStyle w:val="Normal.0"/>
      </w:pP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25"/>
        <w:gridCol w:w="5225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Лицензиар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Лицензиат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Коммерческий директор ООО «Авантис»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_____________________________/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 xml:space="preserve"> Д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Григорьева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______________________________/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«</w:t>
            </w:r>
            <w:r>
              <w:rPr>
                <w:rStyle w:val="Нет"/>
                <w:u w:val="single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Style w:val="Нет"/>
                <w:u w:val="single"/>
                <w:shd w:val="nil" w:color="auto" w:fill="auto"/>
                <w:rtl w:val="0"/>
                <w:lang w:val="ru-RU"/>
              </w:rPr>
              <w:tab/>
              <w:t>____________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20</w:t>
            </w:r>
            <w:r>
              <w:rPr>
                <w:rStyle w:val="Нет"/>
                <w:spacing w:val="0"/>
                <w:u w:val="single"/>
                <w:shd w:val="nil" w:color="auto" w:fill="auto"/>
                <w:rtl w:val="0"/>
                <w:lang w:val="ru-RU"/>
              </w:rPr>
              <w:t xml:space="preserve"> _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pacing w:val="0"/>
                <w:shd w:val="nil" w:color="auto" w:fill="auto"/>
                <w:rtl w:val="0"/>
                <w:lang w:val="ru-RU"/>
              </w:rPr>
              <w:t>«</w:t>
            </w:r>
            <w:r>
              <w:rPr>
                <w:rStyle w:val="Нет"/>
                <w:u w:val="single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Style w:val="Нет"/>
                <w:u w:val="single"/>
                <w:shd w:val="nil" w:color="auto" w:fill="auto"/>
                <w:rtl w:val="0"/>
                <w:lang w:val="ru-RU"/>
              </w:rPr>
              <w:tab/>
              <w:t>_____________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20</w:t>
            </w:r>
            <w:r>
              <w:rPr>
                <w:rStyle w:val="Нет"/>
                <w:spacing w:val="0"/>
                <w:u w:val="single"/>
                <w:shd w:val="nil" w:color="auto" w:fill="auto"/>
                <w:rtl w:val="0"/>
                <w:lang w:val="ru-RU"/>
              </w:rPr>
              <w:t xml:space="preserve"> _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</w:pPr>
    </w:p>
    <w:p>
      <w:pPr>
        <w:pStyle w:val="Normal.0"/>
        <w:sectPr>
          <w:type w:val="continuous"/>
          <w:pgSz w:w="12240" w:h="15840" w:orient="portrait"/>
          <w:pgMar w:top="640" w:right="580" w:bottom="280" w:left="1200" w:header="720" w:footer="720"/>
          <w:bidi w:val="0"/>
        </w:sectPr>
      </w:pPr>
    </w:p>
    <w:p>
      <w:pPr>
        <w:pStyle w:val="Normal.0"/>
        <w:tabs>
          <w:tab w:val="left" w:pos="1153"/>
        </w:tabs>
        <w:ind w:right="49"/>
        <w:jc w:val="center"/>
      </w:pPr>
      <w:r/>
    </w:p>
    <w:sectPr>
      <w:headerReference w:type="default" r:id="rId6"/>
      <w:pgSz w:w="12240" w:h="15840" w:orient="portrait"/>
      <w:pgMar w:top="709" w:right="580" w:bottom="280" w:left="12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18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pacing w:val="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pacing w:val="0"/>
      <w:shd w:val="nil" w:color="auto" w:fill="auto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